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Style w:val="6"/>
          <w:highlight w:val="none"/>
        </w:rPr>
      </w:pPr>
      <w:bookmarkStart w:id="0" w:name="_Toc26574"/>
      <w:bookmarkStart w:id="1" w:name="_Toc18832"/>
      <w:bookmarkStart w:id="2" w:name="_Toc24650"/>
      <w:bookmarkStart w:id="3" w:name="_Toc11272"/>
      <w:r>
        <w:rPr>
          <w:rStyle w:val="6"/>
          <w:rFonts w:hint="eastAsia"/>
          <w:highlight w:val="none"/>
        </w:rPr>
        <w:t xml:space="preserve">第一章  </w:t>
      </w:r>
      <w:bookmarkEnd w:id="0"/>
      <w:bookmarkEnd w:id="1"/>
      <w:bookmarkEnd w:id="2"/>
      <w:bookmarkEnd w:id="3"/>
      <w:r>
        <w:rPr>
          <w:rStyle w:val="6"/>
          <w:rFonts w:hint="eastAsia"/>
          <w:highlight w:val="none"/>
        </w:rPr>
        <w:t>采购公告</w:t>
      </w:r>
    </w:p>
    <w:p>
      <w:pPr>
        <w:widowControl/>
        <w:spacing w:line="440" w:lineRule="exact"/>
        <w:rPr>
          <w:rFonts w:ascii="宋体" w:hAnsi="宋体" w:cs="宋体"/>
          <w:b/>
          <w:bCs/>
          <w:szCs w:val="21"/>
          <w:highlight w:val="none"/>
        </w:rPr>
      </w:pPr>
      <w:bookmarkStart w:id="4" w:name="_Toc20983"/>
      <w:bookmarkStart w:id="5" w:name="_Hlk505590386"/>
    </w:p>
    <w:p>
      <w:pPr>
        <w:widowControl/>
        <w:spacing w:line="440" w:lineRule="exact"/>
        <w:rPr>
          <w:rFonts w:ascii="宋体" w:hAnsi="宋体" w:cs="宋体"/>
          <w:b/>
          <w:bCs/>
          <w:szCs w:val="21"/>
          <w:highlight w:val="none"/>
        </w:rPr>
      </w:pPr>
      <w:r>
        <w:rPr>
          <w:rFonts w:hint="eastAsia" w:ascii="宋体" w:hAnsi="宋体" w:cs="宋体"/>
          <w:b/>
          <w:bCs/>
          <w:szCs w:val="21"/>
          <w:highlight w:val="none"/>
        </w:rPr>
        <w:t>一、采购项目基本概况</w:t>
      </w:r>
      <w:bookmarkEnd w:id="4"/>
    </w:p>
    <w:p>
      <w:pPr>
        <w:spacing w:line="440" w:lineRule="exact"/>
        <w:ind w:left="609" w:leftChars="190" w:hanging="210" w:hangingChars="100"/>
        <w:rPr>
          <w:rFonts w:hint="default" w:ascii="宋体" w:hAnsi="宋体" w:cs="宋体"/>
          <w:szCs w:val="21"/>
          <w:highlight w:val="none"/>
          <w:lang w:val="en-US" w:eastAsia="zh-CN"/>
        </w:rPr>
      </w:pPr>
      <w:r>
        <w:rPr>
          <w:rFonts w:hint="eastAsia" w:ascii="宋体" w:hAnsi="宋体" w:cs="宋体"/>
          <w:szCs w:val="21"/>
          <w:highlight w:val="none"/>
        </w:rPr>
        <w:t>1、采购项目名称：湖南省企业融资综合信用服务平台（征信平台）</w:t>
      </w:r>
      <w:r>
        <w:rPr>
          <w:rFonts w:hint="eastAsia" w:ascii="宋体" w:hAnsi="宋体" w:cs="宋体"/>
          <w:szCs w:val="21"/>
          <w:highlight w:val="none"/>
          <w:lang w:val="en-US" w:eastAsia="zh-CN"/>
        </w:rPr>
        <w:t>运营中心多媒体设备采购</w:t>
      </w:r>
    </w:p>
    <w:p>
      <w:pPr>
        <w:spacing w:line="640" w:lineRule="exact"/>
        <w:ind w:firstLine="420" w:firstLineChars="200"/>
        <w:jc w:val="both"/>
        <w:rPr>
          <w:rFonts w:ascii="宋体" w:hAnsi="宋体" w:cs="宋体"/>
          <w:b/>
          <w:bCs/>
          <w:kern w:val="0"/>
          <w:sz w:val="32"/>
          <w:szCs w:val="32"/>
          <w:highlight w:val="none"/>
        </w:rPr>
      </w:pPr>
      <w:r>
        <w:rPr>
          <w:rFonts w:hint="eastAsia" w:ascii="宋体" w:hAnsi="宋体" w:cs="宋体"/>
          <w:szCs w:val="21"/>
          <w:highlight w:val="none"/>
        </w:rPr>
        <w:t>2、项目编号：</w:t>
      </w:r>
      <w:r>
        <w:rPr>
          <w:rFonts w:hint="eastAsia" w:ascii="宋体" w:hAnsi="宋体" w:eastAsia="宋体" w:cs="宋体"/>
          <w:szCs w:val="21"/>
          <w:highlight w:val="none"/>
          <w:lang w:val="en-US" w:eastAsia="zh-CN"/>
        </w:rPr>
        <w:t>HNZX竞争性磋商-2024002</w:t>
      </w:r>
    </w:p>
    <w:p>
      <w:pPr>
        <w:widowControl/>
        <w:spacing w:line="440" w:lineRule="exact"/>
        <w:ind w:firstLine="420" w:firstLineChars="200"/>
        <w:rPr>
          <w:rFonts w:ascii="宋体" w:hAnsi="宋体" w:cs="宋体"/>
          <w:szCs w:val="21"/>
          <w:highlight w:val="none"/>
        </w:rPr>
      </w:pPr>
      <w:r>
        <w:rPr>
          <w:rFonts w:hint="eastAsia" w:ascii="宋体" w:hAnsi="宋体" w:cs="宋体"/>
          <w:szCs w:val="21"/>
          <w:highlight w:val="none"/>
        </w:rPr>
        <w:t>3、采购方式：竞争性磋商。</w:t>
      </w:r>
    </w:p>
    <w:p>
      <w:pPr>
        <w:widowControl/>
        <w:spacing w:line="440" w:lineRule="exact"/>
        <w:ind w:firstLine="420" w:firstLineChars="200"/>
        <w:rPr>
          <w:rFonts w:hint="eastAsia" w:ascii="宋体" w:hAnsi="宋体" w:cs="宋体"/>
          <w:szCs w:val="21"/>
          <w:highlight w:val="none"/>
        </w:rPr>
      </w:pPr>
      <w:r>
        <w:rPr>
          <w:rFonts w:ascii="宋体" w:hAnsi="宋体" w:cs="宋体"/>
          <w:szCs w:val="21"/>
          <w:highlight w:val="none"/>
        </w:rPr>
        <w:t>4</w:t>
      </w:r>
      <w:r>
        <w:rPr>
          <w:rFonts w:hint="eastAsia" w:ascii="宋体" w:hAnsi="宋体" w:cs="宋体"/>
          <w:szCs w:val="21"/>
          <w:highlight w:val="none"/>
        </w:rPr>
        <w:t>、采购内容：</w:t>
      </w:r>
      <w:r>
        <w:rPr>
          <w:rFonts w:hint="eastAsia" w:ascii="宋体" w:hAnsi="宋体" w:cs="宋体"/>
          <w:szCs w:val="21"/>
          <w:highlight w:val="none"/>
          <w:lang w:val="en-US" w:eastAsia="zh-CN"/>
        </w:rPr>
        <w:t>多媒体设备</w:t>
      </w:r>
    </w:p>
    <w:tbl>
      <w:tblPr>
        <w:tblStyle w:val="4"/>
        <w:tblW w:w="0" w:type="auto"/>
        <w:tblInd w:w="108"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3022"/>
        <w:gridCol w:w="1083"/>
        <w:gridCol w:w="1574"/>
        <w:gridCol w:w="2532"/>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PrEx>
        <w:trPr>
          <w:trHeight w:val="1252" w:hRule="atLeast"/>
        </w:trPr>
        <w:tc>
          <w:tcPr>
            <w:tcW w:w="3022" w:type="dxa"/>
            <w:tcBorders>
              <w:left w:val="single" w:color="auto" w:sz="4" w:space="0"/>
              <w:right w:val="single" w:color="auto" w:sz="4" w:space="0"/>
            </w:tcBorders>
            <w:noWrap w:val="0"/>
            <w:vAlign w:val="center"/>
          </w:tcPr>
          <w:p>
            <w:pPr>
              <w:widowControl/>
              <w:adjustRightInd w:val="0"/>
              <w:snapToGrid w:val="0"/>
              <w:spacing w:before="50" w:line="360" w:lineRule="auto"/>
              <w:jc w:val="center"/>
              <w:rPr>
                <w:rFonts w:ascii="Nimbus Roman No9 L" w:hAnsi="Nimbus Roman No9 L" w:cs="Nimbus Roman No9 L"/>
                <w:kern w:val="0"/>
                <w:szCs w:val="21"/>
                <w:highlight w:val="none"/>
              </w:rPr>
            </w:pPr>
            <w:r>
              <w:rPr>
                <w:rFonts w:ascii="Nimbus Roman No9 L" w:hAnsi="Nimbus Roman No9 L" w:cs="Nimbus Roman No9 L"/>
                <w:kern w:val="0"/>
                <w:szCs w:val="21"/>
                <w:highlight w:val="none"/>
              </w:rPr>
              <w:t>简要技术要求</w:t>
            </w:r>
          </w:p>
        </w:tc>
        <w:tc>
          <w:tcPr>
            <w:tcW w:w="1083" w:type="dxa"/>
            <w:tcBorders>
              <w:left w:val="single" w:color="auto" w:sz="4" w:space="0"/>
              <w:right w:val="single" w:color="auto" w:sz="4" w:space="0"/>
            </w:tcBorders>
            <w:noWrap w:val="0"/>
            <w:vAlign w:val="center"/>
          </w:tcPr>
          <w:p>
            <w:pPr>
              <w:widowControl/>
              <w:adjustRightInd w:val="0"/>
              <w:snapToGrid w:val="0"/>
              <w:spacing w:before="50" w:line="360" w:lineRule="auto"/>
              <w:jc w:val="center"/>
              <w:rPr>
                <w:rFonts w:hint="eastAsia" w:ascii="Nimbus Roman No9 L" w:hAnsi="Nimbus Roman No9 L" w:eastAsia="宋体" w:cs="Nimbus Roman No9 L"/>
                <w:kern w:val="0"/>
                <w:szCs w:val="21"/>
                <w:highlight w:val="none"/>
                <w:lang w:eastAsia="zh-CN"/>
              </w:rPr>
            </w:pPr>
            <w:r>
              <w:rPr>
                <w:rFonts w:ascii="Nimbus Roman No9 L" w:hAnsi="Nimbus Roman No9 L" w:cs="Nimbus Roman No9 L"/>
                <w:kern w:val="0"/>
                <w:szCs w:val="21"/>
                <w:highlight w:val="none"/>
              </w:rPr>
              <w:t>数量</w:t>
            </w:r>
            <w:r>
              <w:rPr>
                <w:rFonts w:hint="eastAsia" w:ascii="Nimbus Roman No9 L" w:hAnsi="Nimbus Roman No9 L" w:cs="Nimbus Roman No9 L"/>
                <w:kern w:val="0"/>
                <w:szCs w:val="21"/>
                <w:highlight w:val="none"/>
                <w:lang w:eastAsia="zh-CN"/>
              </w:rPr>
              <w:t>（</w:t>
            </w:r>
            <w:r>
              <w:rPr>
                <w:rFonts w:hint="eastAsia" w:ascii="Nimbus Roman No9 L" w:hAnsi="Nimbus Roman No9 L" w:cs="Nimbus Roman No9 L"/>
                <w:kern w:val="0"/>
                <w:szCs w:val="21"/>
                <w:highlight w:val="none"/>
                <w:lang w:val="en-US" w:eastAsia="zh-CN"/>
              </w:rPr>
              <w:t>单位</w:t>
            </w:r>
            <w:r>
              <w:rPr>
                <w:rFonts w:hint="eastAsia" w:ascii="Nimbus Roman No9 L" w:hAnsi="Nimbus Roman No9 L" w:cs="Nimbus Roman No9 L"/>
                <w:kern w:val="0"/>
                <w:szCs w:val="21"/>
                <w:highlight w:val="none"/>
                <w:lang w:eastAsia="zh-CN"/>
              </w:rPr>
              <w:t>）</w:t>
            </w:r>
          </w:p>
        </w:tc>
        <w:tc>
          <w:tcPr>
            <w:tcW w:w="1574" w:type="dxa"/>
            <w:tcBorders>
              <w:left w:val="single" w:color="auto" w:sz="4" w:space="0"/>
              <w:right w:val="single" w:color="auto" w:sz="4" w:space="0"/>
            </w:tcBorders>
            <w:noWrap w:val="0"/>
            <w:vAlign w:val="center"/>
          </w:tcPr>
          <w:p>
            <w:pPr>
              <w:widowControl/>
              <w:adjustRightInd w:val="0"/>
              <w:snapToGrid w:val="0"/>
              <w:spacing w:before="50" w:line="360" w:lineRule="auto"/>
              <w:jc w:val="center"/>
              <w:rPr>
                <w:rFonts w:ascii="Nimbus Roman No9 L" w:hAnsi="Nimbus Roman No9 L" w:cs="Nimbus Roman No9 L"/>
                <w:kern w:val="0"/>
                <w:szCs w:val="21"/>
                <w:highlight w:val="none"/>
              </w:rPr>
            </w:pPr>
            <w:r>
              <w:rPr>
                <w:rFonts w:ascii="Nimbus Roman No9 L" w:hAnsi="Nimbus Roman No9 L" w:cs="Nimbus Roman No9 L"/>
                <w:kern w:val="0"/>
                <w:szCs w:val="21"/>
                <w:highlight w:val="none"/>
              </w:rPr>
              <w:t>采购项目预算</w:t>
            </w:r>
          </w:p>
          <w:p>
            <w:pPr>
              <w:widowControl/>
              <w:adjustRightInd w:val="0"/>
              <w:snapToGrid w:val="0"/>
              <w:spacing w:before="50" w:line="360" w:lineRule="auto"/>
              <w:jc w:val="center"/>
              <w:rPr>
                <w:rFonts w:ascii="Nimbus Roman No9 L" w:hAnsi="Nimbus Roman No9 L" w:cs="Nimbus Roman No9 L"/>
                <w:kern w:val="0"/>
                <w:szCs w:val="21"/>
                <w:highlight w:val="none"/>
              </w:rPr>
            </w:pPr>
            <w:r>
              <w:rPr>
                <w:rFonts w:ascii="Nimbus Roman No9 L" w:hAnsi="Nimbus Roman No9 L" w:cs="Nimbus Roman No9 L"/>
                <w:kern w:val="0"/>
                <w:szCs w:val="21"/>
                <w:highlight w:val="none"/>
              </w:rPr>
              <w:t>（元人民币）</w:t>
            </w:r>
          </w:p>
        </w:tc>
        <w:tc>
          <w:tcPr>
            <w:tcW w:w="2532" w:type="dxa"/>
            <w:tcBorders>
              <w:left w:val="single" w:color="auto" w:sz="4" w:space="0"/>
            </w:tcBorders>
            <w:noWrap w:val="0"/>
            <w:vAlign w:val="center"/>
          </w:tcPr>
          <w:p>
            <w:pPr>
              <w:widowControl/>
              <w:adjustRightInd w:val="0"/>
              <w:snapToGrid w:val="0"/>
              <w:spacing w:before="50" w:line="360" w:lineRule="auto"/>
              <w:jc w:val="center"/>
              <w:rPr>
                <w:rFonts w:hint="eastAsia" w:ascii="Nimbus Roman No9 L" w:hAnsi="Nimbus Roman No9 L" w:eastAsia="宋体" w:cs="Nimbus Roman No9 L"/>
                <w:kern w:val="0"/>
                <w:szCs w:val="21"/>
                <w:highlight w:val="none"/>
                <w:lang w:eastAsia="zh-CN"/>
              </w:rPr>
            </w:pPr>
            <w:r>
              <w:rPr>
                <w:rFonts w:hint="eastAsia" w:ascii="宋体" w:hAnsi="宋体" w:cs="宋体"/>
                <w:szCs w:val="21"/>
                <w:highlight w:val="none"/>
              </w:rPr>
              <w:t>简要技术需求或服务要求</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PrEx>
        <w:tc>
          <w:tcPr>
            <w:tcW w:w="3022" w:type="dxa"/>
            <w:tcBorders>
              <w:left w:val="single" w:color="auto" w:sz="4" w:space="0"/>
              <w:right w:val="single" w:color="auto" w:sz="4" w:space="0"/>
            </w:tcBorders>
            <w:noWrap w:val="0"/>
            <w:vAlign w:val="top"/>
          </w:tcPr>
          <w:p>
            <w:pPr>
              <w:widowControl/>
              <w:adjustRightInd w:val="0"/>
              <w:snapToGrid w:val="0"/>
              <w:spacing w:before="50" w:line="360" w:lineRule="auto"/>
              <w:jc w:val="center"/>
              <w:rPr>
                <w:rFonts w:ascii="Nimbus Roman No9 L" w:hAnsi="Nimbus Roman No9 L" w:cs="Nimbus Roman No9 L"/>
                <w:kern w:val="0"/>
                <w:szCs w:val="21"/>
                <w:highlight w:val="none"/>
              </w:rPr>
            </w:pPr>
            <w:r>
              <w:rPr>
                <w:rFonts w:hint="default" w:ascii="Nimbus Roman No9 L" w:hAnsi="Nimbus Roman No9 L" w:eastAsia="宋体" w:cs="Nimbus Roman No9 L"/>
                <w:b w:val="0"/>
                <w:bCs w:val="0"/>
                <w:kern w:val="0"/>
                <w:sz w:val="21"/>
                <w:szCs w:val="21"/>
                <w:highlight w:val="none"/>
              </w:rPr>
              <w:t>湖南省企业融资综合信用服务平台（征信平台）</w:t>
            </w:r>
            <w:r>
              <w:rPr>
                <w:rFonts w:hint="default" w:ascii="Nimbus Roman No9 L" w:hAnsi="Nimbus Roman No9 L" w:eastAsia="宋体" w:cs="Nimbus Roman No9 L"/>
                <w:b w:val="0"/>
                <w:bCs w:val="0"/>
                <w:kern w:val="0"/>
                <w:sz w:val="21"/>
                <w:szCs w:val="21"/>
                <w:highlight w:val="none"/>
                <w:lang w:val="en-US" w:eastAsia="zh-CN"/>
              </w:rPr>
              <w:t>运营中心</w:t>
            </w:r>
            <w:r>
              <w:rPr>
                <w:rFonts w:hint="eastAsia" w:ascii="Nimbus Roman No9 L" w:hAnsi="Nimbus Roman No9 L" w:eastAsia="宋体" w:cs="Nimbus Roman No9 L"/>
                <w:b w:val="0"/>
                <w:bCs w:val="0"/>
                <w:kern w:val="0"/>
                <w:sz w:val="21"/>
                <w:szCs w:val="21"/>
                <w:highlight w:val="none"/>
                <w:lang w:val="en-US" w:eastAsia="zh-CN"/>
              </w:rPr>
              <w:t>多媒体</w:t>
            </w:r>
            <w:r>
              <w:rPr>
                <w:rFonts w:hint="default" w:ascii="Nimbus Roman No9 L" w:hAnsi="Nimbus Roman No9 L" w:eastAsia="宋体" w:cs="Nimbus Roman No9 L"/>
                <w:b w:val="0"/>
                <w:bCs w:val="0"/>
                <w:kern w:val="0"/>
                <w:sz w:val="21"/>
                <w:szCs w:val="21"/>
                <w:highlight w:val="none"/>
                <w:lang w:val="en-US" w:eastAsia="zh-CN"/>
              </w:rPr>
              <w:t>采购</w:t>
            </w:r>
          </w:p>
        </w:tc>
        <w:tc>
          <w:tcPr>
            <w:tcW w:w="1083" w:type="dxa"/>
            <w:tcBorders>
              <w:left w:val="single" w:color="auto" w:sz="4" w:space="0"/>
              <w:right w:val="single" w:color="auto" w:sz="4" w:space="0"/>
            </w:tcBorders>
            <w:noWrap w:val="0"/>
            <w:vAlign w:val="top"/>
          </w:tcPr>
          <w:p>
            <w:pPr>
              <w:widowControl/>
              <w:adjustRightInd w:val="0"/>
              <w:snapToGrid w:val="0"/>
              <w:spacing w:before="50" w:line="360" w:lineRule="auto"/>
              <w:jc w:val="center"/>
              <w:rPr>
                <w:rFonts w:hint="eastAsia" w:ascii="Nimbus Roman No9 L" w:hAnsi="Nimbus Roman No9 L" w:eastAsia="宋体" w:cs="Nimbus Roman No9 L"/>
                <w:kern w:val="0"/>
                <w:szCs w:val="21"/>
                <w:highlight w:val="none"/>
                <w:lang w:eastAsia="zh-CN"/>
              </w:rPr>
            </w:pPr>
            <w:r>
              <w:rPr>
                <w:rFonts w:ascii="Nimbus Roman No9 L" w:hAnsi="Nimbus Roman No9 L" w:cs="Nimbus Roman No9 L"/>
                <w:kern w:val="0"/>
                <w:szCs w:val="21"/>
                <w:highlight w:val="none"/>
              </w:rPr>
              <w:t>1</w:t>
            </w:r>
            <w:r>
              <w:rPr>
                <w:rFonts w:hint="eastAsia" w:ascii="Nimbus Roman No9 L" w:hAnsi="Nimbus Roman No9 L" w:cs="Nimbus Roman No9 L"/>
                <w:kern w:val="0"/>
                <w:szCs w:val="21"/>
                <w:highlight w:val="none"/>
                <w:lang w:eastAsia="zh-CN"/>
              </w:rPr>
              <w:t>（</w:t>
            </w:r>
            <w:r>
              <w:rPr>
                <w:rFonts w:hint="eastAsia" w:ascii="Nimbus Roman No9 L" w:hAnsi="Nimbus Roman No9 L" w:cs="Nimbus Roman No9 L"/>
                <w:kern w:val="0"/>
                <w:szCs w:val="21"/>
                <w:highlight w:val="none"/>
                <w:lang w:val="en-US" w:eastAsia="zh-CN"/>
              </w:rPr>
              <w:t>批</w:t>
            </w:r>
            <w:r>
              <w:rPr>
                <w:rFonts w:hint="eastAsia" w:ascii="Nimbus Roman No9 L" w:hAnsi="Nimbus Roman No9 L" w:cs="Nimbus Roman No9 L"/>
                <w:kern w:val="0"/>
                <w:szCs w:val="21"/>
                <w:highlight w:val="none"/>
                <w:lang w:eastAsia="zh-CN"/>
              </w:rPr>
              <w:t>）</w:t>
            </w:r>
          </w:p>
        </w:tc>
        <w:tc>
          <w:tcPr>
            <w:tcW w:w="1574" w:type="dxa"/>
            <w:tcBorders>
              <w:left w:val="single" w:color="auto" w:sz="4" w:space="0"/>
              <w:right w:val="single" w:color="auto" w:sz="4" w:space="0"/>
            </w:tcBorders>
            <w:noWrap w:val="0"/>
            <w:vAlign w:val="top"/>
          </w:tcPr>
          <w:p>
            <w:pPr>
              <w:widowControl/>
              <w:adjustRightInd w:val="0"/>
              <w:snapToGrid w:val="0"/>
              <w:spacing w:before="50" w:line="360" w:lineRule="auto"/>
              <w:jc w:val="center"/>
              <w:rPr>
                <w:rFonts w:ascii="Nimbus Roman No9 L" w:hAnsi="Nimbus Roman No9 L" w:cs="Nimbus Roman No9 L"/>
                <w:kern w:val="0"/>
                <w:szCs w:val="21"/>
                <w:highlight w:val="none"/>
              </w:rPr>
            </w:pPr>
            <w:r>
              <w:rPr>
                <w:rFonts w:hint="eastAsia" w:ascii="Nimbus Roman No9 L" w:hAnsi="Nimbus Roman No9 L" w:cs="Nimbus Roman No9 L"/>
                <w:kern w:val="0"/>
                <w:szCs w:val="21"/>
                <w:highlight w:val="none"/>
                <w:lang w:val="en-US" w:eastAsia="zh-CN"/>
              </w:rPr>
              <w:t>45</w:t>
            </w:r>
            <w:r>
              <w:rPr>
                <w:rFonts w:ascii="Nimbus Roman No9 L" w:hAnsi="Nimbus Roman No9 L" w:cs="Nimbus Roman No9 L"/>
                <w:kern w:val="0"/>
                <w:szCs w:val="21"/>
                <w:highlight w:val="none"/>
              </w:rPr>
              <w:t>0000元</w:t>
            </w:r>
          </w:p>
        </w:tc>
        <w:tc>
          <w:tcPr>
            <w:tcW w:w="2532" w:type="dxa"/>
            <w:tcBorders>
              <w:left w:val="single" w:color="auto" w:sz="4" w:space="0"/>
            </w:tcBorders>
            <w:noWrap w:val="0"/>
            <w:vAlign w:val="top"/>
          </w:tcPr>
          <w:p>
            <w:pPr>
              <w:widowControl/>
              <w:adjustRightInd w:val="0"/>
              <w:snapToGrid w:val="0"/>
              <w:spacing w:before="50" w:line="360" w:lineRule="auto"/>
              <w:jc w:val="center"/>
              <w:rPr>
                <w:rFonts w:ascii="Nimbus Roman No9 L" w:hAnsi="Nimbus Roman No9 L" w:cs="Nimbus Roman No9 L"/>
                <w:kern w:val="0"/>
                <w:szCs w:val="21"/>
                <w:highlight w:val="none"/>
              </w:rPr>
            </w:pPr>
            <w:r>
              <w:rPr>
                <w:rFonts w:ascii="Nimbus Roman No9 L" w:hAnsi="Nimbus Roman No9 L" w:cs="Nimbus Roman No9 L"/>
                <w:kern w:val="0"/>
                <w:szCs w:val="21"/>
                <w:highlight w:val="none"/>
              </w:rPr>
              <w:t>详见磋商文件</w:t>
            </w:r>
          </w:p>
        </w:tc>
      </w:tr>
    </w:tbl>
    <w:p>
      <w:pPr>
        <w:pStyle w:val="3"/>
        <w:rPr>
          <w:highlight w:val="none"/>
        </w:rPr>
      </w:pPr>
    </w:p>
    <w:p>
      <w:pPr>
        <w:widowControl/>
        <w:spacing w:line="440" w:lineRule="exact"/>
        <w:rPr>
          <w:rFonts w:ascii="宋体" w:hAnsi="宋体" w:cs="宋体"/>
          <w:b/>
          <w:bCs/>
          <w:szCs w:val="21"/>
          <w:highlight w:val="none"/>
        </w:rPr>
      </w:pPr>
      <w:r>
        <w:rPr>
          <w:rFonts w:hint="eastAsia" w:ascii="宋体" w:hAnsi="宋体" w:cs="宋体"/>
          <w:b/>
          <w:bCs/>
          <w:szCs w:val="21"/>
          <w:highlight w:val="none"/>
        </w:rPr>
        <w:t>二、供应商的资格要求</w:t>
      </w:r>
    </w:p>
    <w:p>
      <w:pPr>
        <w:spacing w:line="360" w:lineRule="auto"/>
        <w:ind w:firstLine="315" w:firstLineChars="150"/>
        <w:rPr>
          <w:rFonts w:ascii="宋体" w:hAnsi="宋体" w:cs="宋体"/>
          <w:szCs w:val="21"/>
          <w:highlight w:val="none"/>
        </w:rPr>
      </w:pPr>
      <w:bookmarkStart w:id="6" w:name="_Hlk112848763"/>
      <w:r>
        <w:rPr>
          <w:rFonts w:hint="eastAsia" w:ascii="宋体" w:hAnsi="宋体" w:cs="宋体"/>
          <w:szCs w:val="21"/>
          <w:highlight w:val="none"/>
        </w:rPr>
        <w:t>合格供应商的一般要求：</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 xml:space="preserve">1、在中华人民共和国境内注册，能够独立承担民事责任，提供本次采购服务的法人； </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2、具有良好的商业信誉和健全的财务会计制度；</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3、具有履行合同所必须的设备和专业技术能力；</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4、有依法缴纳税收的良好记录；</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5、参加采购活动前三年内，在经营活动中没有重大违法记录；</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6、完全满足比选文件的实质性要求；</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7、遵守有关的国家法律、法令和条例；</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8、本项目接受□或不接受</w:t>
      </w:r>
      <w:r>
        <w:rPr>
          <w:rFonts w:hint="eastAsia" w:ascii="宋体" w:hAnsi="宋体" w:cs="宋体"/>
          <w:szCs w:val="21"/>
          <w:highlight w:val="none"/>
          <w:lang w:eastAsia="zh-CN"/>
        </w:rPr>
        <w:t>☑</w:t>
      </w:r>
      <w:r>
        <w:rPr>
          <w:rFonts w:hint="eastAsia" w:ascii="宋体" w:hAnsi="宋体" w:cs="宋体"/>
          <w:szCs w:val="21"/>
          <w:highlight w:val="none"/>
        </w:rPr>
        <w:t>联合体响应。</w:t>
      </w:r>
    </w:p>
    <w:bookmarkEnd w:id="6"/>
    <w:p>
      <w:pPr>
        <w:widowControl/>
        <w:spacing w:line="440" w:lineRule="exact"/>
        <w:rPr>
          <w:rFonts w:ascii="宋体" w:hAnsi="宋体" w:cs="宋体"/>
          <w:b/>
          <w:bCs/>
          <w:szCs w:val="21"/>
          <w:highlight w:val="none"/>
        </w:rPr>
      </w:pPr>
      <w:bookmarkStart w:id="7" w:name="_Toc6866"/>
      <w:r>
        <w:rPr>
          <w:rFonts w:hint="eastAsia" w:ascii="宋体" w:hAnsi="宋体" w:cs="宋体"/>
          <w:b/>
          <w:bCs/>
          <w:szCs w:val="21"/>
          <w:highlight w:val="none"/>
        </w:rPr>
        <w:t>三、获取磋商文件的时间、地点及方式</w:t>
      </w:r>
      <w:bookmarkEnd w:id="7"/>
    </w:p>
    <w:p>
      <w:pPr>
        <w:widowControl/>
        <w:spacing w:line="360" w:lineRule="auto"/>
        <w:ind w:firstLine="420" w:firstLineChars="200"/>
        <w:jc w:val="left"/>
        <w:rPr>
          <w:rFonts w:ascii="宋体" w:hAnsi="宋体" w:cs="宋体"/>
          <w:color w:val="000000"/>
          <w:kern w:val="0"/>
          <w:szCs w:val="21"/>
          <w:highlight w:val="none"/>
        </w:rPr>
      </w:pPr>
      <w:bookmarkStart w:id="8" w:name="_Toc11005"/>
      <w:bookmarkStart w:id="9" w:name="_Hlk112848794"/>
      <w:r>
        <w:rPr>
          <w:rFonts w:hint="eastAsia" w:ascii="宋体" w:hAnsi="宋体" w:cs="宋体"/>
          <w:color w:val="000000"/>
          <w:kern w:val="0"/>
          <w:szCs w:val="21"/>
          <w:highlight w:val="none"/>
        </w:rPr>
        <w:t>如报名参加本项目采购，请于</w:t>
      </w:r>
      <w:r>
        <w:rPr>
          <w:rFonts w:hint="default" w:ascii="宋体" w:hAnsi="宋体" w:cs="宋体"/>
          <w:color w:val="000000"/>
          <w:kern w:val="0"/>
          <w:szCs w:val="21"/>
          <w:highlight w:val="none"/>
        </w:rPr>
        <w:t>2024</w:t>
      </w:r>
      <w:r>
        <w:rPr>
          <w:rFonts w:hint="eastAsia" w:ascii="宋体" w:hAnsi="宋体" w:cs="宋体"/>
          <w:color w:val="000000"/>
          <w:kern w:val="0"/>
          <w:szCs w:val="21"/>
          <w:highlight w:val="none"/>
        </w:rPr>
        <w:t>年</w:t>
      </w:r>
      <w:r>
        <w:rPr>
          <w:rFonts w:hint="default" w:ascii="宋体" w:hAnsi="宋体" w:cs="宋体"/>
          <w:color w:val="000000"/>
          <w:kern w:val="0"/>
          <w:szCs w:val="21"/>
          <w:highlight w:val="none"/>
        </w:rPr>
        <w:t>3</w:t>
      </w:r>
      <w:r>
        <w:rPr>
          <w:rFonts w:hint="eastAsia" w:ascii="宋体" w:hAnsi="宋体" w:cs="宋体"/>
          <w:color w:val="000000"/>
          <w:kern w:val="0"/>
          <w:szCs w:val="21"/>
          <w:highlight w:val="none"/>
        </w:rPr>
        <w:t>月</w:t>
      </w:r>
      <w:r>
        <w:rPr>
          <w:rFonts w:hint="default" w:ascii="宋体" w:hAnsi="宋体" w:cs="宋体"/>
          <w:color w:val="000000"/>
          <w:kern w:val="0"/>
          <w:szCs w:val="21"/>
          <w:highlight w:val="none"/>
        </w:rPr>
        <w:t>2</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日</w:t>
      </w:r>
      <w:bookmarkStart w:id="10" w:name="_Hlk112848419"/>
      <w:r>
        <w:rPr>
          <w:rFonts w:hint="default" w:ascii="宋体" w:hAnsi="宋体" w:cs="宋体"/>
          <w:color w:val="000000"/>
          <w:kern w:val="0"/>
          <w:szCs w:val="21"/>
          <w:highlight w:val="none"/>
        </w:rPr>
        <w:t>17</w:t>
      </w:r>
      <w:r>
        <w:rPr>
          <w:rFonts w:hint="eastAsia" w:ascii="宋体" w:hAnsi="宋体" w:cs="宋体"/>
          <w:color w:val="000000"/>
          <w:kern w:val="0"/>
          <w:szCs w:val="21"/>
          <w:highlight w:val="none"/>
        </w:rPr>
        <w:t>点</w:t>
      </w:r>
      <w:bookmarkEnd w:id="10"/>
      <w:r>
        <w:rPr>
          <w:rFonts w:hint="eastAsia" w:ascii="宋体" w:hAnsi="宋体" w:cs="宋体"/>
          <w:color w:val="000000"/>
          <w:kern w:val="0"/>
          <w:szCs w:val="21"/>
          <w:highlight w:val="none"/>
        </w:rPr>
        <w:t>前提供以下文件并加盖供应商公章：</w:t>
      </w:r>
    </w:p>
    <w:p>
      <w:pPr>
        <w:widowControl/>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1、营业执照副本复印件。</w:t>
      </w:r>
    </w:p>
    <w:p>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color w:val="000000"/>
          <w:kern w:val="0"/>
          <w:szCs w:val="21"/>
          <w:highlight w:val="none"/>
        </w:rPr>
        <w:t>2、</w:t>
      </w:r>
      <w:r>
        <w:rPr>
          <w:rFonts w:hint="eastAsia" w:ascii="宋体" w:hAnsi="宋体" w:cs="宋体"/>
          <w:kern w:val="0"/>
          <w:szCs w:val="21"/>
          <w:highlight w:val="none"/>
        </w:rPr>
        <w:t>法定代表人身份证复印件，如为委托代理人参与响应的还需提供法定代表人授权委托书和委托代理人的身份证复印件；</w:t>
      </w:r>
    </w:p>
    <w:p>
      <w:pPr>
        <w:widowControl/>
        <w:spacing w:line="360" w:lineRule="auto"/>
        <w:ind w:firstLine="420" w:firstLineChars="20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3、近6个月内连续3个月缴纳社保和税收的证明；</w:t>
      </w:r>
    </w:p>
    <w:p>
      <w:pPr>
        <w:widowControl/>
        <w:tabs>
          <w:tab w:val="left" w:pos="4725"/>
        </w:tabs>
        <w:adjustRightInd w:val="0"/>
        <w:snapToGrid w:val="0"/>
        <w:spacing w:line="360" w:lineRule="auto"/>
        <w:ind w:firstLine="420" w:firstLineChars="200"/>
        <w:jc w:val="left"/>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4、</w:t>
      </w:r>
      <w:r>
        <w:rPr>
          <w:rFonts w:hint="eastAsia" w:ascii="宋体" w:hAnsi="宋体"/>
          <w:szCs w:val="21"/>
          <w:highlight w:val="none"/>
        </w:rPr>
        <w:t>参加本次采购活动前三年内在经营活动中没有重大违法记录的书面声明</w:t>
      </w:r>
      <w:r>
        <w:rPr>
          <w:rFonts w:hint="eastAsia" w:ascii="宋体" w:hAnsi="宋体" w:cs="宋体"/>
          <w:kern w:val="0"/>
          <w:szCs w:val="21"/>
          <w:highlight w:val="none"/>
          <w:lang w:val="en-US" w:eastAsia="zh-CN"/>
        </w:rPr>
        <w:t>；</w:t>
      </w:r>
    </w:p>
    <w:p>
      <w:pPr>
        <w:widowControl/>
        <w:spacing w:line="360" w:lineRule="auto"/>
        <w:ind w:firstLine="420" w:firstLineChars="200"/>
        <w:jc w:val="left"/>
        <w:rPr>
          <w:rFonts w:hint="eastAsia" w:ascii="宋体" w:hAnsi="宋体" w:cs="宋体"/>
          <w:kern w:val="0"/>
          <w:szCs w:val="21"/>
          <w:highlight w:val="none"/>
        </w:rPr>
      </w:pP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lang w:val="en-US" w:eastAsia="zh-CN"/>
        </w:rPr>
        <w:t>5</w:t>
      </w:r>
      <w:r>
        <w:rPr>
          <w:rFonts w:hint="eastAsia" w:ascii="宋体" w:hAnsi="宋体" w:cs="宋体"/>
          <w:kern w:val="0"/>
          <w:szCs w:val="21"/>
          <w:highlight w:val="none"/>
        </w:rPr>
        <w:t>、符合</w:t>
      </w:r>
      <w:r>
        <w:rPr>
          <w:rFonts w:hint="eastAsia" w:ascii="宋体" w:hAnsi="宋体" w:cs="宋体"/>
          <w:szCs w:val="21"/>
          <w:highlight w:val="none"/>
        </w:rPr>
        <w:t>合格供应商特定资格条件的相关资格证明文件复印件。</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提交资料如有伪造或虚报，则取消该单位的报名或响应资格。</w:t>
      </w:r>
      <w:bookmarkEnd w:id="8"/>
    </w:p>
    <w:bookmarkEnd w:id="9"/>
    <w:p>
      <w:pPr>
        <w:widowControl/>
        <w:spacing w:line="440" w:lineRule="exact"/>
        <w:rPr>
          <w:rFonts w:ascii="宋体" w:hAnsi="宋体" w:cs="宋体"/>
          <w:b/>
          <w:bCs/>
          <w:szCs w:val="21"/>
          <w:highlight w:val="none"/>
        </w:rPr>
      </w:pPr>
      <w:bookmarkStart w:id="11" w:name="_Toc10809"/>
      <w:r>
        <w:rPr>
          <w:rFonts w:hint="eastAsia" w:ascii="宋体" w:hAnsi="宋体" w:cs="宋体"/>
          <w:b/>
          <w:bCs/>
          <w:szCs w:val="21"/>
          <w:highlight w:val="none"/>
        </w:rPr>
        <w:t>四、响应文件提交的截止时间、开启时间及地点</w:t>
      </w:r>
      <w:bookmarkEnd w:id="11"/>
    </w:p>
    <w:p>
      <w:pPr>
        <w:widowControl/>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1、首次响应文件的提交截止时间：</w:t>
      </w:r>
      <w:r>
        <w:rPr>
          <w:rFonts w:hint="default" w:ascii="宋体" w:hAnsi="宋体" w:cs="宋体"/>
          <w:szCs w:val="21"/>
          <w:highlight w:val="none"/>
        </w:rPr>
        <w:t>2024</w:t>
      </w:r>
      <w:r>
        <w:rPr>
          <w:rFonts w:hint="eastAsia" w:ascii="宋体" w:hAnsi="宋体" w:cs="宋体"/>
          <w:szCs w:val="21"/>
          <w:highlight w:val="none"/>
        </w:rPr>
        <w:t>年</w:t>
      </w:r>
      <w:r>
        <w:rPr>
          <w:rFonts w:hint="default" w:ascii="宋体" w:hAnsi="宋体" w:cs="宋体"/>
          <w:szCs w:val="21"/>
          <w:highlight w:val="none"/>
        </w:rPr>
        <w:t>3</w:t>
      </w:r>
      <w:r>
        <w:rPr>
          <w:rFonts w:hint="eastAsia" w:ascii="宋体" w:hAnsi="宋体" w:cs="宋体"/>
          <w:szCs w:val="21"/>
          <w:highlight w:val="none"/>
        </w:rPr>
        <w:t>月</w:t>
      </w:r>
      <w:r>
        <w:rPr>
          <w:rFonts w:hint="default" w:ascii="宋体" w:hAnsi="宋体" w:cs="宋体"/>
          <w:szCs w:val="21"/>
          <w:highlight w:val="none"/>
        </w:rPr>
        <w:t>2</w:t>
      </w:r>
      <w:r>
        <w:rPr>
          <w:rFonts w:hint="eastAsia" w:ascii="宋体" w:hAnsi="宋体" w:cs="宋体"/>
          <w:szCs w:val="21"/>
          <w:highlight w:val="none"/>
          <w:lang w:val="en-US" w:eastAsia="zh-CN"/>
        </w:rPr>
        <w:t>7</w:t>
      </w:r>
      <w:r>
        <w:rPr>
          <w:rFonts w:hint="eastAsia" w:ascii="宋体" w:hAnsi="宋体" w:cs="宋体"/>
          <w:szCs w:val="21"/>
          <w:highlight w:val="none"/>
        </w:rPr>
        <w:t>日</w:t>
      </w:r>
      <w:r>
        <w:rPr>
          <w:rFonts w:hint="eastAsia" w:ascii="宋体" w:hAnsi="宋体" w:cs="宋体"/>
          <w:szCs w:val="21"/>
          <w:highlight w:val="none"/>
          <w:lang w:val="en-US" w:eastAsia="zh-CN"/>
        </w:rPr>
        <w:t>14</w:t>
      </w:r>
      <w:r>
        <w:rPr>
          <w:rFonts w:hint="eastAsia" w:ascii="宋体" w:hAnsi="宋体" w:cs="宋体"/>
          <w:szCs w:val="21"/>
          <w:highlight w:val="none"/>
        </w:rPr>
        <w:t>时</w:t>
      </w:r>
      <w:r>
        <w:rPr>
          <w:rFonts w:hint="eastAsia" w:ascii="宋体" w:hAnsi="宋体" w:cs="宋体"/>
          <w:szCs w:val="21"/>
          <w:highlight w:val="none"/>
          <w:lang w:val="en-US" w:eastAsia="zh-CN"/>
        </w:rPr>
        <w:t>30</w:t>
      </w:r>
      <w:r>
        <w:rPr>
          <w:rFonts w:hint="eastAsia" w:ascii="宋体" w:hAnsi="宋体" w:cs="宋体"/>
          <w:szCs w:val="21"/>
          <w:highlight w:val="none"/>
        </w:rPr>
        <w:t>分。</w:t>
      </w:r>
    </w:p>
    <w:p>
      <w:pPr>
        <w:widowControl/>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2、首次响应文件的开启时间：</w:t>
      </w:r>
      <w:r>
        <w:rPr>
          <w:rFonts w:hint="default" w:ascii="宋体" w:hAnsi="宋体" w:cs="宋体"/>
          <w:szCs w:val="21"/>
          <w:highlight w:val="none"/>
        </w:rPr>
        <w:t>2024</w:t>
      </w:r>
      <w:r>
        <w:rPr>
          <w:rFonts w:hint="eastAsia" w:ascii="宋体" w:hAnsi="宋体" w:cs="宋体"/>
          <w:szCs w:val="21"/>
          <w:highlight w:val="none"/>
        </w:rPr>
        <w:t>年</w:t>
      </w:r>
      <w:r>
        <w:rPr>
          <w:rFonts w:hint="default" w:ascii="宋体" w:hAnsi="宋体" w:cs="宋体"/>
          <w:szCs w:val="21"/>
          <w:highlight w:val="none"/>
        </w:rPr>
        <w:t>3</w:t>
      </w:r>
      <w:r>
        <w:rPr>
          <w:rFonts w:hint="eastAsia" w:ascii="宋体" w:hAnsi="宋体" w:cs="宋体"/>
          <w:szCs w:val="21"/>
          <w:highlight w:val="none"/>
        </w:rPr>
        <w:t>月</w:t>
      </w:r>
      <w:r>
        <w:rPr>
          <w:rFonts w:hint="default" w:ascii="宋体" w:hAnsi="宋体" w:cs="宋体"/>
          <w:szCs w:val="21"/>
          <w:highlight w:val="none"/>
        </w:rPr>
        <w:t>2</w:t>
      </w:r>
      <w:r>
        <w:rPr>
          <w:rFonts w:hint="eastAsia" w:ascii="宋体" w:hAnsi="宋体" w:cs="宋体"/>
          <w:szCs w:val="21"/>
          <w:highlight w:val="none"/>
          <w:lang w:val="en-US" w:eastAsia="zh-CN"/>
        </w:rPr>
        <w:t>7</w:t>
      </w:r>
      <w:r>
        <w:rPr>
          <w:rFonts w:ascii="宋体" w:hAnsi="宋体" w:cs="宋体"/>
          <w:szCs w:val="21"/>
          <w:highlight w:val="none"/>
        </w:rPr>
        <w:t xml:space="preserve"> </w:t>
      </w:r>
      <w:r>
        <w:rPr>
          <w:rFonts w:hint="eastAsia" w:ascii="宋体" w:hAnsi="宋体" w:cs="宋体"/>
          <w:szCs w:val="21"/>
          <w:highlight w:val="none"/>
        </w:rPr>
        <w:t>日</w:t>
      </w:r>
      <w:r>
        <w:rPr>
          <w:rFonts w:hint="eastAsia" w:ascii="宋体" w:hAnsi="宋体" w:cs="宋体"/>
          <w:szCs w:val="21"/>
          <w:highlight w:val="none"/>
          <w:lang w:val="en-US" w:eastAsia="zh-CN"/>
        </w:rPr>
        <w:t>14</w:t>
      </w:r>
      <w:r>
        <w:rPr>
          <w:rFonts w:hint="eastAsia" w:ascii="宋体" w:hAnsi="宋体" w:cs="宋体"/>
          <w:szCs w:val="21"/>
          <w:highlight w:val="none"/>
        </w:rPr>
        <w:t>时</w:t>
      </w:r>
      <w:r>
        <w:rPr>
          <w:rFonts w:hint="default" w:ascii="宋体" w:hAnsi="宋体" w:cs="宋体"/>
          <w:szCs w:val="21"/>
          <w:highlight w:val="none"/>
        </w:rPr>
        <w:t>30</w:t>
      </w:r>
      <w:r>
        <w:rPr>
          <w:rFonts w:hint="eastAsia" w:ascii="宋体" w:hAnsi="宋体" w:cs="宋体"/>
          <w:szCs w:val="21"/>
          <w:highlight w:val="none"/>
        </w:rPr>
        <w:t>分。</w:t>
      </w:r>
    </w:p>
    <w:p>
      <w:pPr>
        <w:widowControl/>
        <w:spacing w:line="440" w:lineRule="exact"/>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3、首次响应文件的开启地点：</w:t>
      </w:r>
      <w:r>
        <w:rPr>
          <w:rFonts w:hint="eastAsia" w:ascii="宋体" w:hAnsi="宋体" w:cs="宋体"/>
          <w:szCs w:val="21"/>
          <w:highlight w:val="none"/>
          <w:lang w:val="en-US" w:eastAsia="zh-CN"/>
        </w:rPr>
        <w:t>湖南省征信有限公司会议室（长沙市岳麓区滨江路楷林国际A座7楼）。</w:t>
      </w:r>
    </w:p>
    <w:p>
      <w:pPr>
        <w:widowControl/>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4、在截止时间后送达的响应文件为无效文件，采购人应当拒收。</w:t>
      </w:r>
    </w:p>
    <w:p>
      <w:pPr>
        <w:widowControl/>
        <w:spacing w:line="440" w:lineRule="exact"/>
        <w:rPr>
          <w:rFonts w:ascii="宋体" w:hAnsi="宋体" w:cs="宋体"/>
          <w:b/>
          <w:bCs/>
          <w:szCs w:val="21"/>
          <w:highlight w:val="none"/>
        </w:rPr>
      </w:pPr>
      <w:r>
        <w:rPr>
          <w:rFonts w:hint="eastAsia" w:ascii="宋体" w:hAnsi="宋体" w:cs="宋体"/>
          <w:b/>
          <w:bCs/>
          <w:szCs w:val="21"/>
          <w:highlight w:val="none"/>
        </w:rPr>
        <w:t>五、质疑和投诉</w:t>
      </w:r>
    </w:p>
    <w:p>
      <w:pPr>
        <w:widowControl/>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1、供应商对采购活动事项如有疑问的，应以书面形式（加盖公章）向采购人提出询问。采购人将在3日内以书面形式作出答复。</w:t>
      </w:r>
    </w:p>
    <w:p>
      <w:pPr>
        <w:widowControl/>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2、潜在供应商认为磋商文件存在歧视性条款的，应在购买磋商文件之日起</w:t>
      </w:r>
      <w:r>
        <w:rPr>
          <w:rFonts w:ascii="宋体" w:hAnsi="宋体" w:cs="宋体"/>
          <w:szCs w:val="21"/>
          <w:highlight w:val="none"/>
        </w:rPr>
        <w:t>3</w:t>
      </w:r>
      <w:r>
        <w:rPr>
          <w:rFonts w:hint="eastAsia" w:ascii="宋体" w:hAnsi="宋体" w:cs="宋体"/>
          <w:szCs w:val="21"/>
          <w:highlight w:val="none"/>
        </w:rPr>
        <w:t>日内以书面形式（加盖公章）向采购人一次性提出。如对质疑答复有异议，可向相关部门投诉。</w:t>
      </w:r>
    </w:p>
    <w:p>
      <w:pPr>
        <w:widowControl/>
        <w:spacing w:line="440" w:lineRule="exact"/>
        <w:rPr>
          <w:rFonts w:ascii="宋体" w:hAnsi="宋体" w:cs="宋体"/>
          <w:b/>
          <w:bCs/>
          <w:szCs w:val="21"/>
          <w:highlight w:val="none"/>
        </w:rPr>
      </w:pPr>
      <w:bookmarkStart w:id="12" w:name="_Hlk112915915"/>
      <w:r>
        <w:rPr>
          <w:rFonts w:hint="eastAsia" w:ascii="宋体" w:hAnsi="宋体" w:cs="宋体"/>
          <w:b/>
          <w:bCs/>
          <w:szCs w:val="21"/>
          <w:highlight w:val="none"/>
        </w:rPr>
        <w:t>六、采购人信息</w:t>
      </w:r>
    </w:p>
    <w:p>
      <w:pPr>
        <w:widowControl/>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采购人：</w:t>
      </w:r>
      <w:r>
        <w:rPr>
          <w:rFonts w:hint="eastAsia" w:ascii="宋体" w:hAnsi="宋体" w:cs="宋体"/>
          <w:szCs w:val="21"/>
          <w:highlight w:val="none"/>
          <w:lang w:val="en-US" w:eastAsia="zh-CN"/>
        </w:rPr>
        <w:t>湖南省征信有限</w:t>
      </w:r>
      <w:r>
        <w:rPr>
          <w:rFonts w:hint="eastAsia" w:ascii="宋体" w:hAnsi="宋体" w:cs="宋体"/>
          <w:szCs w:val="21"/>
          <w:highlight w:val="none"/>
        </w:rPr>
        <w:t>公司</w:t>
      </w:r>
    </w:p>
    <w:p>
      <w:pPr>
        <w:widowControl/>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地  址：湖南省长沙市</w:t>
      </w:r>
      <w:r>
        <w:rPr>
          <w:rFonts w:hint="eastAsia" w:ascii="宋体" w:hAnsi="宋体" w:cs="宋体"/>
          <w:szCs w:val="21"/>
          <w:highlight w:val="none"/>
          <w:lang w:val="en-US" w:eastAsia="zh-CN"/>
        </w:rPr>
        <w:t>岳麓区楷林国际7楼</w:t>
      </w:r>
    </w:p>
    <w:p>
      <w:pPr>
        <w:widowControl/>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联系人：</w:t>
      </w:r>
      <w:r>
        <w:rPr>
          <w:rFonts w:hint="default" w:ascii="宋体" w:hAnsi="宋体" w:cs="宋体"/>
          <w:szCs w:val="21"/>
          <w:highlight w:val="none"/>
        </w:rPr>
        <w:t>李慧</w:t>
      </w:r>
    </w:p>
    <w:p>
      <w:pPr>
        <w:widowControl/>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电  话：0731-8</w:t>
      </w:r>
      <w:r>
        <w:rPr>
          <w:rFonts w:hint="eastAsia" w:ascii="宋体" w:hAnsi="宋体" w:eastAsia="宋体" w:cs="宋体"/>
          <w:szCs w:val="21"/>
          <w:highlight w:val="none"/>
          <w:lang w:val="en-US" w:eastAsia="zh-CN"/>
        </w:rPr>
        <w:t>5579101</w:t>
      </w:r>
    </w:p>
    <w:p>
      <w:pPr>
        <w:widowControl/>
        <w:spacing w:line="440" w:lineRule="exact"/>
        <w:ind w:firstLine="420" w:firstLineChars="20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手  机：13974931193</w:t>
      </w:r>
    </w:p>
    <w:p>
      <w:pPr>
        <w:widowControl/>
        <w:spacing w:line="440" w:lineRule="exact"/>
        <w:ind w:firstLine="420" w:firstLineChars="200"/>
        <w:jc w:val="left"/>
        <w:rPr>
          <w:rFonts w:hint="eastAsia" w:ascii="宋体" w:hAnsi="宋体" w:eastAsia="宋体" w:cs="宋体"/>
          <w:szCs w:val="21"/>
          <w:highlight w:val="none"/>
        </w:rPr>
      </w:pPr>
    </w:p>
    <w:bookmarkEnd w:id="5"/>
    <w:bookmarkEnd w:id="12"/>
    <w:p>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Mzk5ZDM4MmYxYTVmMmE5M2Y1ZjQxNWQ3ODc3MWIifQ=="/>
    <w:docVar w:name="KSO_WPS_MARK_KEY" w:val="e6b446bf-351f-4891-8e02-89d0c7ef8dd0"/>
  </w:docVars>
  <w:rsids>
    <w:rsidRoot w:val="00000000"/>
    <w:rsid w:val="1F957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
    <w:qFormat/>
    <w:uiPriority w:val="0"/>
    <w:pPr>
      <w:keepNext/>
      <w:spacing w:line="600" w:lineRule="exact"/>
      <w:jc w:val="center"/>
      <w:outlineLvl w:val="0"/>
    </w:pPr>
    <w:rPr>
      <w:rFonts w:ascii="Times New Roman" w:hAnsi="Times New Roman"/>
      <w:b/>
      <w:kern w:val="0"/>
      <w:sz w:val="36"/>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c 1"/>
    <w:basedOn w:val="1"/>
    <w:next w:val="1"/>
    <w:qFormat/>
    <w:uiPriority w:val="0"/>
  </w:style>
  <w:style w:type="character" w:customStyle="1" w:styleId="6">
    <w:name w:val="标题 1 字符"/>
    <w:link w:val="2"/>
    <w:qFormat/>
    <w:uiPriority w:val="0"/>
    <w:rPr>
      <w:rFonts w:ascii="Times New Roman" w:hAnsi="Times New Roman"/>
      <w:b/>
      <w:kern w:val="0"/>
      <w:sz w:val="36"/>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2024-03-16T09:21:52Z</dcterms:created>
  <dc:creator>李慧</dc:creator>
  <cp:lastModifiedBy>李慧</cp:lastModifiedBy>
  <dcterms:modified xsi:type="dcterms:W3CDTF">2024-03-16T09:22:08Z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755E20E5F7924B3A98C2B343961740A7_12</vt:lpwstr>
  </property>
</Properties>
</file>